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LICEO SCIENTIFICO CARLO CATTANEO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Torino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Disciplina: IRC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Programma I anno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INTRODUZIONE ALL'IRC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-Perche religione a scuola?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-le mie domande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 DOMANDE DELL'UOMO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-le mie domande sono le domande dell'umanità. Le domande antropologiche dei popoli primitivi e moderni.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PSICOLOGIA DELLA RELIGIONE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-Cenni e fondamenti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 NASCITA DELLE RELIGIONI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-La Dea Madre e le prime sepolture. Enigmi e misteri.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-Religioni megalitiche. Interrogativi aperti.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-Sumeri, Assiri, Egizi, Babilonesi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STORIA DELLE RELIGIONI ANTICHE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-Grecia e Roma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-Ebraismo antico e moderno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ANTICO TESTAMENTO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-introduzione alla lingua ebraica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-introduzione al greco biblico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-Bibbia, una classificazione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-Pentateuco e legge ebraica: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-Mitologie e Miti: La Creazione, L’uomo e la Donna, Il Male, il Diluvio, Mosè e l’epopea biblica. Quali verità?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-Libri storici (Giudici, Re)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-Libri profetici (Isaia, Daniele…)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-Scritti Midhrahici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INTRODUZIONE NUOVO TESTAMENTO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-La Palestina biblica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-Introduzione allo studio dei Vangeli. Interrogativi sul fenomeno umano Gesù.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sY4eKPs8xA/tNAzHFzeg/znKA==">AMUW2mVOV/1SjCZRwET/lkhyU8ssZYX5VdZAv9NtfIOcT/mt/cJeRPb05hSM1A0qgVUzwo37YyDoPWkDaXO5+ndZJl91qJ4UtRnM9E5Bl8HS2ss7qfD/XBo=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